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37" w:rsidRDefault="00FD4237"/>
    <w:p w:rsidR="00F478AE" w:rsidRDefault="00F478AE"/>
    <w:p w:rsidR="00F478AE" w:rsidRDefault="00F478AE" w:rsidP="00F478AE">
      <w:pPr>
        <w:spacing w:line="360" w:lineRule="auto"/>
        <w:jc w:val="both"/>
        <w:rPr>
          <w:rFonts w:ascii="Bookman Old Style" w:hAnsi="Bookman Old Style"/>
          <w:b/>
          <w:sz w:val="24"/>
          <w:szCs w:val="24"/>
        </w:rPr>
      </w:pPr>
      <w:r w:rsidRPr="00F478AE">
        <w:rPr>
          <w:rFonts w:ascii="Bookman Old Style" w:hAnsi="Bookman Old Style"/>
          <w:b/>
          <w:sz w:val="24"/>
          <w:szCs w:val="24"/>
        </w:rPr>
        <w:t>LA DISTINCIÓN ENTRE EL PARRICI</w:t>
      </w:r>
      <w:r w:rsidR="00CF1EF3">
        <w:rPr>
          <w:rFonts w:ascii="Bookman Old Style" w:hAnsi="Bookman Old Style"/>
          <w:b/>
          <w:sz w:val="24"/>
          <w:szCs w:val="24"/>
        </w:rPr>
        <w:t xml:space="preserve">DIO </w:t>
      </w:r>
      <w:r w:rsidRPr="00F478AE">
        <w:rPr>
          <w:rFonts w:ascii="Bookman Old Style" w:hAnsi="Bookman Old Style"/>
          <w:b/>
          <w:sz w:val="24"/>
          <w:szCs w:val="24"/>
        </w:rPr>
        <w:t>Y EL TIPO PENAL DE FEMINICIDIO</w:t>
      </w:r>
      <w:r w:rsidR="00CF1EF3">
        <w:rPr>
          <w:rFonts w:ascii="Bookman Old Style" w:hAnsi="Bookman Old Style"/>
          <w:b/>
          <w:sz w:val="24"/>
          <w:szCs w:val="24"/>
        </w:rPr>
        <w:t xml:space="preserve"> EN EL MARCO DE LA VIOLENCIA FAMILIAR Y </w:t>
      </w:r>
      <w:r w:rsidR="0039239C">
        <w:rPr>
          <w:rFonts w:ascii="Bookman Old Style" w:hAnsi="Bookman Old Style"/>
          <w:b/>
          <w:sz w:val="24"/>
          <w:szCs w:val="24"/>
        </w:rPr>
        <w:t xml:space="preserve">LA </w:t>
      </w:r>
      <w:r w:rsidR="00CF1EF3">
        <w:rPr>
          <w:rFonts w:ascii="Bookman Old Style" w:hAnsi="Bookman Old Style"/>
          <w:b/>
          <w:sz w:val="24"/>
          <w:szCs w:val="24"/>
        </w:rPr>
        <w:t>VIOLENCIA DE GENERO</w:t>
      </w:r>
    </w:p>
    <w:p w:rsidR="00F478AE" w:rsidRPr="00CF1EF3" w:rsidRDefault="00CF1EF3" w:rsidP="00F478AE">
      <w:pPr>
        <w:spacing w:line="360" w:lineRule="auto"/>
        <w:jc w:val="both"/>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E610B1" w:rsidRDefault="00E610B1" w:rsidP="00E610B1">
      <w:pPr>
        <w:ind w:left="2124"/>
        <w:jc w:val="both"/>
        <w:rPr>
          <w:rFonts w:ascii="Bookman Old Style" w:hAnsi="Bookman Old Style"/>
          <w:b/>
          <w:sz w:val="24"/>
          <w:szCs w:val="24"/>
        </w:rPr>
      </w:pPr>
      <w:r w:rsidRPr="007838DB">
        <w:rPr>
          <w:rFonts w:ascii="Bookman Old Style" w:hAnsi="Bookman Old Style" w:cs="Tahoma"/>
          <w:b/>
          <w:i/>
          <w:sz w:val="24"/>
          <w:szCs w:val="24"/>
        </w:rPr>
        <w:t>Por: Alonso R. Peña Cabrera Freyre</w:t>
      </w:r>
      <w:r w:rsidRPr="007838DB">
        <w:rPr>
          <w:rStyle w:val="Refdenotaalpie"/>
          <w:rFonts w:ascii="Bookman Old Style" w:eastAsia="HG Mincho Light J" w:hAnsi="Bookman Old Style"/>
          <w:b/>
          <w:i/>
          <w:iCs/>
          <w:sz w:val="24"/>
          <w:szCs w:val="24"/>
        </w:rPr>
        <w:footnoteReference w:id="2"/>
      </w:r>
    </w:p>
    <w:p w:rsidR="00CF1EF3" w:rsidRDefault="00CF1EF3" w:rsidP="00F478AE">
      <w:pPr>
        <w:spacing w:line="360" w:lineRule="auto"/>
        <w:jc w:val="both"/>
        <w:rPr>
          <w:rFonts w:ascii="Bookman Old Style" w:hAnsi="Bookman Old Style"/>
          <w:b/>
          <w:sz w:val="24"/>
          <w:szCs w:val="24"/>
        </w:rPr>
      </w:pPr>
    </w:p>
    <w:p w:rsidR="00F478AE" w:rsidRDefault="00F478AE" w:rsidP="00F478AE">
      <w:pPr>
        <w:spacing w:line="360" w:lineRule="auto"/>
        <w:jc w:val="both"/>
        <w:rPr>
          <w:rFonts w:ascii="Bookman Old Style" w:hAnsi="Bookman Old Style"/>
          <w:sz w:val="24"/>
          <w:szCs w:val="24"/>
        </w:rPr>
      </w:pPr>
      <w:r>
        <w:rPr>
          <w:rFonts w:ascii="Bookman Old Style" w:hAnsi="Bookman Old Style"/>
          <w:sz w:val="24"/>
          <w:szCs w:val="24"/>
        </w:rPr>
        <w:t xml:space="preserve">£ Hoy </w:t>
      </w:r>
      <w:r w:rsidR="00CF1EF3">
        <w:rPr>
          <w:rFonts w:ascii="Bookman Old Style" w:hAnsi="Bookman Old Style"/>
          <w:sz w:val="24"/>
          <w:szCs w:val="24"/>
        </w:rPr>
        <w:t>-</w:t>
      </w:r>
      <w:r>
        <w:rPr>
          <w:rFonts w:ascii="Bookman Old Style" w:hAnsi="Bookman Old Style"/>
          <w:sz w:val="24"/>
          <w:szCs w:val="24"/>
        </w:rPr>
        <w:t>a la luz del protagonismo que ocupa el delito de "</w:t>
      </w:r>
      <w:proofErr w:type="spellStart"/>
      <w:r>
        <w:rPr>
          <w:rFonts w:ascii="Bookman Old Style" w:hAnsi="Bookman Old Style"/>
          <w:sz w:val="24"/>
          <w:szCs w:val="24"/>
        </w:rPr>
        <w:t>Feminicidio</w:t>
      </w:r>
      <w:proofErr w:type="spellEnd"/>
      <w:r>
        <w:rPr>
          <w:rFonts w:ascii="Bookman Old Style" w:hAnsi="Bookman Old Style"/>
          <w:sz w:val="24"/>
          <w:szCs w:val="24"/>
        </w:rPr>
        <w:t>"</w:t>
      </w:r>
      <w:r w:rsidR="00CF1EF3">
        <w:rPr>
          <w:rFonts w:ascii="Bookman Old Style" w:hAnsi="Bookman Old Style"/>
          <w:sz w:val="24"/>
          <w:szCs w:val="24"/>
        </w:rPr>
        <w:t>-, producto</w:t>
      </w:r>
      <w:r>
        <w:rPr>
          <w:rFonts w:ascii="Bookman Old Style" w:hAnsi="Bookman Old Style"/>
          <w:sz w:val="24"/>
          <w:szCs w:val="24"/>
        </w:rPr>
        <w:t xml:space="preserve"> del galopante crecimiento de la violencia contra la mujer (Ver, índices criminológicos de este delito por parte del Observatorio de la Criminalidad del Ministerio Público</w:t>
      </w:r>
      <w:r>
        <w:rPr>
          <w:rStyle w:val="Refdenotaalpie"/>
          <w:rFonts w:ascii="Bookman Old Style" w:hAnsi="Bookman Old Style"/>
          <w:sz w:val="24"/>
          <w:szCs w:val="24"/>
        </w:rPr>
        <w:footnoteReference w:id="3"/>
      </w:r>
      <w:r>
        <w:rPr>
          <w:rFonts w:ascii="Bookman Old Style" w:hAnsi="Bookman Old Style"/>
          <w:sz w:val="24"/>
          <w:szCs w:val="24"/>
        </w:rPr>
        <w:t>), resulta fundamental dar matices distintivos entre esta figura delictiva y el de Parricidio. Primero, que el artículo 108-B° del CP tiene una incidencia aplicativa mayor que del tipo legal previsto en el artículo</w:t>
      </w:r>
      <w:r w:rsidR="00CF1EF3">
        <w:rPr>
          <w:rFonts w:ascii="Bookman Old Style" w:hAnsi="Bookman Old Style"/>
          <w:sz w:val="24"/>
          <w:szCs w:val="24"/>
        </w:rPr>
        <w:t xml:space="preserve"> 107°, en el sentido de </w:t>
      </w:r>
      <w:r>
        <w:rPr>
          <w:rFonts w:ascii="Bookman Old Style" w:hAnsi="Bookman Old Style"/>
          <w:sz w:val="24"/>
          <w:szCs w:val="24"/>
        </w:rPr>
        <w:t>que no sólo se trata de Homicidio</w:t>
      </w:r>
      <w:r w:rsidR="00CF1EF3">
        <w:rPr>
          <w:rFonts w:ascii="Bookman Old Style" w:hAnsi="Bookman Old Style"/>
          <w:sz w:val="24"/>
          <w:szCs w:val="24"/>
        </w:rPr>
        <w:t>s</w:t>
      </w:r>
      <w:r>
        <w:rPr>
          <w:rFonts w:ascii="Bookman Old Style" w:hAnsi="Bookman Old Style"/>
          <w:sz w:val="24"/>
          <w:szCs w:val="24"/>
        </w:rPr>
        <w:t xml:space="preserve"> dolosos, que se cometan entre miembros del grupo "familiar", </w:t>
      </w:r>
      <w:r w:rsidR="00D86ECA">
        <w:rPr>
          <w:rFonts w:ascii="Bookman Old Style" w:hAnsi="Bookman Old Style"/>
          <w:sz w:val="24"/>
          <w:szCs w:val="24"/>
        </w:rPr>
        <w:t>-</w:t>
      </w:r>
      <w:r>
        <w:rPr>
          <w:rFonts w:ascii="Bookman Old Style" w:hAnsi="Bookman Old Style"/>
          <w:sz w:val="24"/>
          <w:szCs w:val="24"/>
        </w:rPr>
        <w:t>teniendo como sujeto pasivo</w:t>
      </w:r>
      <w:r w:rsidR="00D86ECA">
        <w:rPr>
          <w:rFonts w:ascii="Bookman Old Style" w:hAnsi="Bookman Old Style"/>
          <w:sz w:val="24"/>
          <w:szCs w:val="24"/>
        </w:rPr>
        <w:t xml:space="preserve"> necesariamente a una mujer-, pues las relaciones de poder, posiciones patriarcales así como la supuesta sumisión en la que se ubica la mujer frente al hombre, pueden darse en relaciones no íntimas entre los miembros de la pareja criminal, como parte de esa desigual reparto de roles entre hombres y mujeres en nuestra sociedad; donde la "discriminación", genera un caldo de cultivo de violencia que en </w:t>
      </w:r>
      <w:r w:rsidR="00D86ECA">
        <w:rPr>
          <w:rFonts w:ascii="Bookman Old Style" w:hAnsi="Bookman Old Style"/>
          <w:sz w:val="24"/>
          <w:szCs w:val="24"/>
        </w:rPr>
        <w:lastRenderedPageBreak/>
        <w:t>algunas ocasiones se transforma en estos actos luctuosos</w:t>
      </w:r>
      <w:r w:rsidR="00CF1EF3">
        <w:rPr>
          <w:rFonts w:ascii="Bookman Old Style" w:hAnsi="Bookman Old Style"/>
          <w:sz w:val="24"/>
          <w:szCs w:val="24"/>
        </w:rPr>
        <w:t xml:space="preserve"> (de mayor pico de violencia)</w:t>
      </w:r>
      <w:r w:rsidR="00D86ECA">
        <w:rPr>
          <w:rFonts w:ascii="Bookman Old Style" w:hAnsi="Bookman Old Style"/>
          <w:sz w:val="24"/>
          <w:szCs w:val="24"/>
        </w:rPr>
        <w:t xml:space="preserve">. </w:t>
      </w:r>
    </w:p>
    <w:p w:rsidR="00D86ECA" w:rsidRDefault="00D86ECA" w:rsidP="00F478AE">
      <w:pPr>
        <w:spacing w:line="360" w:lineRule="auto"/>
        <w:jc w:val="both"/>
        <w:rPr>
          <w:rFonts w:ascii="Bookman Old Style" w:hAnsi="Bookman Old Style"/>
          <w:sz w:val="24"/>
          <w:szCs w:val="24"/>
        </w:rPr>
      </w:pPr>
      <w:r>
        <w:rPr>
          <w:rFonts w:ascii="Bookman Old Style" w:hAnsi="Bookman Old Style"/>
          <w:sz w:val="24"/>
          <w:szCs w:val="24"/>
        </w:rPr>
        <w:t xml:space="preserve">No todos -pues-, son </w:t>
      </w:r>
      <w:proofErr w:type="spellStart"/>
      <w:r>
        <w:rPr>
          <w:rFonts w:ascii="Bookman Old Style" w:hAnsi="Bookman Old Style"/>
          <w:sz w:val="24"/>
          <w:szCs w:val="24"/>
        </w:rPr>
        <w:t>feminicidios</w:t>
      </w:r>
      <w:proofErr w:type="spellEnd"/>
      <w:r>
        <w:rPr>
          <w:rFonts w:ascii="Bookman Old Style" w:hAnsi="Bookman Old Style"/>
          <w:sz w:val="24"/>
          <w:szCs w:val="24"/>
        </w:rPr>
        <w:t xml:space="preserve"> de naturaleza "íntima", de pareja o ex-pareja, entre el victimario y la víctima; como se han visto en casos </w:t>
      </w:r>
      <w:proofErr w:type="spellStart"/>
      <w:r>
        <w:rPr>
          <w:rFonts w:ascii="Bookman Old Style" w:hAnsi="Bookman Old Style"/>
          <w:sz w:val="24"/>
          <w:szCs w:val="24"/>
        </w:rPr>
        <w:t>enblemáticos</w:t>
      </w:r>
      <w:proofErr w:type="spellEnd"/>
      <w:r>
        <w:rPr>
          <w:rFonts w:ascii="Bookman Old Style" w:hAnsi="Bookman Old Style"/>
          <w:sz w:val="24"/>
          <w:szCs w:val="24"/>
        </w:rPr>
        <w:t xml:space="preserve"> en nuestro país; y por tanto, en el caso del delito Parricidio, se diría que solo el hombre puede ser sujeto pasivo, como integrante del grupo familiar, lo cual no puede darse en el caso del </w:t>
      </w:r>
      <w:proofErr w:type="spellStart"/>
      <w:r>
        <w:rPr>
          <w:rFonts w:ascii="Bookman Old Style" w:hAnsi="Bookman Old Style"/>
          <w:sz w:val="24"/>
          <w:szCs w:val="24"/>
        </w:rPr>
        <w:t>Feminicidio</w:t>
      </w:r>
      <w:proofErr w:type="spellEnd"/>
      <w:r>
        <w:rPr>
          <w:rFonts w:ascii="Bookman Old Style" w:hAnsi="Bookman Old Style"/>
          <w:sz w:val="24"/>
          <w:szCs w:val="24"/>
        </w:rPr>
        <w:t>, empero si la mujer no fue asesinada por parte del sujeto activo por su sola "condición de tal</w:t>
      </w:r>
      <w:r w:rsidR="00CF1EF3">
        <w:rPr>
          <w:rStyle w:val="Refdenotaalpie"/>
          <w:rFonts w:ascii="Bookman Old Style" w:hAnsi="Bookman Old Style"/>
          <w:sz w:val="24"/>
          <w:szCs w:val="24"/>
        </w:rPr>
        <w:footnoteReference w:id="4"/>
      </w:r>
      <w:r>
        <w:rPr>
          <w:rFonts w:ascii="Bookman Old Style" w:hAnsi="Bookman Old Style"/>
          <w:sz w:val="24"/>
          <w:szCs w:val="24"/>
        </w:rPr>
        <w:t xml:space="preserve">", lo cual transciende su identificación como </w:t>
      </w:r>
      <w:r>
        <w:rPr>
          <w:rFonts w:ascii="Bookman Old Style" w:hAnsi="Bookman Old Style"/>
          <w:i/>
          <w:sz w:val="24"/>
          <w:szCs w:val="24"/>
        </w:rPr>
        <w:t xml:space="preserve">elemento subjetivo de naturaleza intensificada, </w:t>
      </w:r>
      <w:r>
        <w:rPr>
          <w:rFonts w:ascii="Bookman Old Style" w:hAnsi="Bookman Old Style"/>
          <w:sz w:val="24"/>
          <w:szCs w:val="24"/>
        </w:rPr>
        <w:t xml:space="preserve">al ubicarse en la determinación de ese contexto tan particular y singular a la vez, que debe rodear el hecho punible del </w:t>
      </w:r>
      <w:proofErr w:type="spellStart"/>
      <w:r>
        <w:rPr>
          <w:rFonts w:ascii="Bookman Old Style" w:hAnsi="Bookman Old Style"/>
          <w:sz w:val="24"/>
          <w:szCs w:val="24"/>
        </w:rPr>
        <w:t>Feminicidio</w:t>
      </w:r>
      <w:proofErr w:type="spellEnd"/>
      <w:r>
        <w:rPr>
          <w:rFonts w:ascii="Bookman Old Style" w:hAnsi="Bookman Old Style"/>
          <w:sz w:val="24"/>
          <w:szCs w:val="24"/>
        </w:rPr>
        <w:t>, de manera que si la eliminación de la esposa o de la hija por parte del esposo o el padre, no manifiesta una relación de poder, de jerarquía, patriarcal, será</w:t>
      </w:r>
      <w:r w:rsidR="00CF1EF3">
        <w:rPr>
          <w:rFonts w:ascii="Bookman Old Style" w:hAnsi="Bookman Old Style"/>
          <w:sz w:val="24"/>
          <w:szCs w:val="24"/>
        </w:rPr>
        <w:t xml:space="preserve"> pues </w:t>
      </w:r>
      <w:r>
        <w:rPr>
          <w:rFonts w:ascii="Bookman Old Style" w:hAnsi="Bookman Old Style"/>
          <w:sz w:val="24"/>
          <w:szCs w:val="24"/>
        </w:rPr>
        <w:t>delito de Parricidio, muy a pesar de lo que ello puede generar en el colectivo social</w:t>
      </w:r>
      <w:r w:rsidR="00176624">
        <w:rPr>
          <w:rFonts w:ascii="Bookman Old Style" w:hAnsi="Bookman Old Style"/>
          <w:sz w:val="24"/>
          <w:szCs w:val="24"/>
        </w:rPr>
        <w:t>,</w:t>
      </w:r>
      <w:r>
        <w:rPr>
          <w:rFonts w:ascii="Bookman Old Style" w:hAnsi="Bookman Old Style"/>
          <w:sz w:val="24"/>
          <w:szCs w:val="24"/>
        </w:rPr>
        <w:t xml:space="preserve"> que ha internalizado</w:t>
      </w:r>
      <w:r w:rsidR="00176624">
        <w:rPr>
          <w:rFonts w:ascii="Bookman Old Style" w:hAnsi="Bookman Old Style"/>
          <w:sz w:val="24"/>
          <w:szCs w:val="24"/>
        </w:rPr>
        <w:t xml:space="preserve"> que todas muerte dolosa de una dama en el marco de la convivencia familiar ha de ser subsumida en el artículo 108</w:t>
      </w:r>
      <w:r w:rsidR="00CF1EF3">
        <w:rPr>
          <w:rFonts w:ascii="Bookman Old Style" w:hAnsi="Bookman Old Style"/>
          <w:sz w:val="24"/>
          <w:szCs w:val="24"/>
        </w:rPr>
        <w:t>°</w:t>
      </w:r>
      <w:r w:rsidR="00176624">
        <w:rPr>
          <w:rFonts w:ascii="Bookman Old Style" w:hAnsi="Bookman Old Style"/>
          <w:sz w:val="24"/>
          <w:szCs w:val="24"/>
        </w:rPr>
        <w:t xml:space="preserve">-B del CP. </w:t>
      </w:r>
    </w:p>
    <w:p w:rsidR="0039239C" w:rsidRDefault="0039239C" w:rsidP="0039239C">
      <w:pPr>
        <w:spacing w:line="360" w:lineRule="auto"/>
        <w:jc w:val="both"/>
        <w:rPr>
          <w:rFonts w:ascii="Bookman Old Style" w:hAnsi="Bookman Old Style"/>
          <w:sz w:val="24"/>
          <w:szCs w:val="24"/>
        </w:rPr>
      </w:pPr>
      <w:r w:rsidRPr="0039239C">
        <w:rPr>
          <w:rFonts w:ascii="Bookman Old Style" w:hAnsi="Bookman Old Style"/>
          <w:sz w:val="24"/>
          <w:szCs w:val="24"/>
        </w:rPr>
        <w:t xml:space="preserve">Así, en el fundamento 3.4 del </w:t>
      </w:r>
      <w:r w:rsidRPr="0039239C">
        <w:rPr>
          <w:rFonts w:ascii="Bookman Old Style" w:eastAsia="Times New Roman" w:hAnsi="Bookman Old Style" w:cs="Times New Roman"/>
          <w:b/>
          <w:bCs/>
          <w:sz w:val="24"/>
          <w:szCs w:val="24"/>
          <w:lang w:eastAsia="es-PE"/>
        </w:rPr>
        <w:t>RN N° 203-2018, LIMA</w:t>
      </w:r>
      <w:r>
        <w:rPr>
          <w:rFonts w:ascii="Bookman Old Style" w:eastAsia="Times New Roman" w:hAnsi="Bookman Old Style" w:cs="Times New Roman"/>
          <w:b/>
          <w:bCs/>
          <w:sz w:val="24"/>
          <w:szCs w:val="24"/>
          <w:lang w:eastAsia="es-PE"/>
        </w:rPr>
        <w:t xml:space="preserve"> (Sala Penal Permanente)</w:t>
      </w:r>
      <w:r>
        <w:rPr>
          <w:rFonts w:ascii="Bookman Old Style" w:eastAsia="Times New Roman" w:hAnsi="Bookman Old Style" w:cs="Times New Roman"/>
          <w:bCs/>
          <w:sz w:val="24"/>
          <w:szCs w:val="24"/>
          <w:lang w:eastAsia="es-PE"/>
        </w:rPr>
        <w:t>, al indicar que: "</w:t>
      </w:r>
      <w:r w:rsidRPr="00C60CE7">
        <w:rPr>
          <w:rFonts w:ascii="Bookman Old Style" w:eastAsia="Times New Roman" w:hAnsi="Bookman Old Style" w:cs="Times New Roman"/>
          <w:color w:val="000000"/>
          <w:sz w:val="24"/>
          <w:szCs w:val="24"/>
          <w:lang w:eastAsia="es-PE"/>
        </w:rPr>
        <w:t>En ese contexto, la violencia contra la mujer surge de un sistema de relaciones de género que postula que los hombres son superiores a las mujeres. Es evidente que se manifiesta en una idea de dominación masculina, con raíces en la relación de subordinación como manifestación del poder de los hombres sobre las mujeres. Como indica la profesora española Mercedes Alonso Álamo:</w:t>
      </w:r>
      <w:r>
        <w:rPr>
          <w:rFonts w:ascii="Bookman Old Style" w:hAnsi="Bookman Old Style"/>
          <w:sz w:val="24"/>
          <w:szCs w:val="24"/>
        </w:rPr>
        <w:t xml:space="preserve"> </w:t>
      </w:r>
      <w:r w:rsidRPr="00C60CE7">
        <w:rPr>
          <w:rFonts w:ascii="Bookman Old Style" w:eastAsia="Times New Roman" w:hAnsi="Bookman Old Style" w:cs="Times New Roman"/>
          <w:color w:val="000000"/>
          <w:sz w:val="24"/>
          <w:szCs w:val="24"/>
          <w:lang w:eastAsia="es-PE"/>
        </w:rPr>
        <w:t xml:space="preserve">El problema de la violencia sobre la mujer requiere una comprensión distinta de la cuestión que rebasa ese estricto ámbito y que se reconozca, como ya se ha realizado en textos internacionales, que estos comportamientos no constituyen sino una manifestación de las relaciones de poder históricamente desiguales </w:t>
      </w:r>
      <w:r w:rsidRPr="00C60CE7">
        <w:rPr>
          <w:rFonts w:ascii="Bookman Old Style" w:eastAsia="Times New Roman" w:hAnsi="Bookman Old Style" w:cs="Times New Roman"/>
          <w:color w:val="000000"/>
          <w:sz w:val="24"/>
          <w:szCs w:val="24"/>
          <w:lang w:eastAsia="es-PE"/>
        </w:rPr>
        <w:lastRenderedPageBreak/>
        <w:t>entre el hombre y la mujer, que han conducido a la dominación de la mujer y a la discriminación en su contra por parte del hombre</w:t>
      </w:r>
      <w:r>
        <w:rPr>
          <w:rFonts w:ascii="Bookman Old Style" w:eastAsia="Times New Roman" w:hAnsi="Bookman Old Style" w:cs="Times New Roman"/>
          <w:color w:val="000000"/>
          <w:sz w:val="24"/>
          <w:szCs w:val="24"/>
          <w:lang w:eastAsia="es-PE"/>
        </w:rPr>
        <w:t>".</w:t>
      </w:r>
    </w:p>
    <w:p w:rsidR="00A613E6" w:rsidRDefault="00A613E6" w:rsidP="00F478AE">
      <w:pPr>
        <w:spacing w:line="360" w:lineRule="auto"/>
        <w:jc w:val="both"/>
        <w:rPr>
          <w:rFonts w:ascii="Bookman Old Style" w:hAnsi="Bookman Old Style"/>
          <w:sz w:val="24"/>
          <w:szCs w:val="24"/>
        </w:rPr>
      </w:pPr>
      <w:r>
        <w:rPr>
          <w:rFonts w:ascii="Bookman Old Style" w:hAnsi="Bookman Old Style"/>
          <w:sz w:val="24"/>
          <w:szCs w:val="24"/>
        </w:rPr>
        <w:t xml:space="preserve">Claro está, que el delito de Parricidio ha perdido cierto grado de vigencia normativa, como consecuencia del rol protagónico que ha adquirido el delito de </w:t>
      </w:r>
      <w:proofErr w:type="spellStart"/>
      <w:r>
        <w:rPr>
          <w:rFonts w:ascii="Bookman Old Style" w:hAnsi="Bookman Old Style"/>
          <w:sz w:val="24"/>
          <w:szCs w:val="24"/>
        </w:rPr>
        <w:t>Feminicidio</w:t>
      </w:r>
      <w:proofErr w:type="spellEnd"/>
      <w:r>
        <w:rPr>
          <w:rFonts w:ascii="Bookman Old Style" w:hAnsi="Bookman Old Style"/>
          <w:sz w:val="24"/>
          <w:szCs w:val="24"/>
        </w:rPr>
        <w:t xml:space="preserve"> a la luz del incremento exponencial de la "violencia contra la mujer", donde el operador jurídico muy difícilmente se inclinará por el artículo 107° del CP, en la medida que el arrastre mediático es de tal calado, que hacer lo contrario significaría para algunos generar una suerte de impunidad, lo que obviamente no es así; esto implica únicamente someter el principio de subsunción t</w:t>
      </w:r>
      <w:r w:rsidR="0002543C">
        <w:rPr>
          <w:rFonts w:ascii="Bookman Old Style" w:hAnsi="Bookman Old Style"/>
          <w:sz w:val="24"/>
          <w:szCs w:val="24"/>
        </w:rPr>
        <w:t>ípica al principio de legalidad; máxime, si de por medio esta la obligación del persecutor público de acreditar su "Teoría del Caso", entre sus componentes de la "Teoría Jurídica", que el autor dio muerte dolosa a su víctima (</w:t>
      </w:r>
      <w:r w:rsidR="0002543C">
        <w:rPr>
          <w:rFonts w:ascii="Bookman Old Style" w:hAnsi="Bookman Old Style"/>
          <w:i/>
          <w:sz w:val="24"/>
          <w:szCs w:val="24"/>
        </w:rPr>
        <w:t>mujer</w:t>
      </w:r>
      <w:r w:rsidR="0002543C">
        <w:rPr>
          <w:rFonts w:ascii="Bookman Old Style" w:hAnsi="Bookman Old Style"/>
          <w:sz w:val="24"/>
          <w:szCs w:val="24"/>
        </w:rPr>
        <w:t>) por su sola condición "de tal".</w:t>
      </w:r>
    </w:p>
    <w:p w:rsidR="00570DB3" w:rsidRDefault="00D63AB9" w:rsidP="00D63AB9">
      <w:pPr>
        <w:shd w:val="clear" w:color="auto" w:fill="FFFFFF"/>
        <w:spacing w:after="398" w:line="383" w:lineRule="atLeast"/>
        <w:jc w:val="both"/>
        <w:rPr>
          <w:rFonts w:ascii="Bookman Old Style" w:eastAsia="Times New Roman" w:hAnsi="Bookman Old Style" w:cs="Times New Roman"/>
          <w:color w:val="000000"/>
          <w:sz w:val="24"/>
          <w:szCs w:val="24"/>
          <w:lang w:eastAsia="es-PE"/>
        </w:rPr>
      </w:pPr>
      <w:r w:rsidRPr="002A6D52">
        <w:rPr>
          <w:rFonts w:ascii="Bookman Old Style" w:hAnsi="Bookman Old Style"/>
          <w:sz w:val="24"/>
          <w:szCs w:val="24"/>
        </w:rPr>
        <w:t xml:space="preserve">En el RN N° </w:t>
      </w:r>
      <w:r w:rsidRPr="002A6D52">
        <w:rPr>
          <w:rStyle w:val="Textoennegrita"/>
          <w:rFonts w:ascii="Bookman Old Style" w:hAnsi="Bookman Old Style"/>
          <w:sz w:val="24"/>
          <w:szCs w:val="24"/>
          <w:shd w:val="clear" w:color="auto" w:fill="FFFFFF"/>
        </w:rPr>
        <w:t>2145-2018-LIMA NORTE, en su primeros Fundamentos se dice, que: "</w:t>
      </w:r>
      <w:r w:rsidRPr="007125EA">
        <w:rPr>
          <w:rFonts w:ascii="Bookman Old Style" w:eastAsia="Times New Roman" w:hAnsi="Bookman Old Style" w:cs="Times New Roman"/>
          <w:color w:val="000000"/>
          <w:sz w:val="24"/>
          <w:szCs w:val="24"/>
          <w:lang w:eastAsia="es-PE"/>
        </w:rPr>
        <w:t>El parricidio es Una figura agravada del homicidio, en función de la condición del sujeto pasivo, quien presenta una cualificación especial derivada de la relación parental que mantiene con el sujeto activo: su ascendiente, descendiente natural o adoptivo, o persona con quien se sostuvo o se mantiene una relación conyugal o de convivencia. Así lo regula el artículo 107</w:t>
      </w:r>
      <w:r w:rsidRPr="002A6D52">
        <w:rPr>
          <w:rFonts w:ascii="Bookman Old Style" w:eastAsia="Times New Roman" w:hAnsi="Bookman Old Style" w:cs="Times New Roman"/>
          <w:color w:val="000000"/>
          <w:sz w:val="24"/>
          <w:szCs w:val="24"/>
          <w:lang w:eastAsia="es-PE"/>
        </w:rPr>
        <w:t>° del Código Penal</w:t>
      </w:r>
      <w:r w:rsidRPr="007125EA">
        <w:rPr>
          <w:rFonts w:ascii="Bookman Old Style" w:eastAsia="Times New Roman" w:hAnsi="Bookman Old Style" w:cs="Times New Roman"/>
          <w:color w:val="000000"/>
          <w:sz w:val="24"/>
          <w:szCs w:val="24"/>
          <w:lang w:eastAsia="es-PE"/>
        </w:rPr>
        <w:t>.</w:t>
      </w:r>
      <w:r w:rsidRPr="002A6D52">
        <w:rPr>
          <w:rFonts w:ascii="Bookman Old Style" w:eastAsia="Times New Roman" w:hAnsi="Bookman Old Style" w:cs="Times New Roman"/>
          <w:color w:val="000000"/>
          <w:sz w:val="24"/>
          <w:szCs w:val="24"/>
          <w:lang w:eastAsia="es-PE"/>
        </w:rPr>
        <w:t xml:space="preserve"> Luego, que: "(...)</w:t>
      </w:r>
      <w:r w:rsidRPr="002A6D52">
        <w:rPr>
          <w:rFonts w:ascii="Bookman Old Style" w:hAnsi="Bookman Old Style"/>
          <w:sz w:val="24"/>
          <w:szCs w:val="24"/>
        </w:rPr>
        <w:t xml:space="preserve"> </w:t>
      </w:r>
      <w:r w:rsidRPr="007125EA">
        <w:rPr>
          <w:rFonts w:ascii="Bookman Old Style" w:eastAsia="Times New Roman" w:hAnsi="Bookman Old Style" w:cs="Times New Roman"/>
          <w:i/>
          <w:color w:val="000000"/>
          <w:sz w:val="24"/>
          <w:szCs w:val="24"/>
          <w:lang w:eastAsia="es-PE"/>
        </w:rPr>
        <w:t>El elemento subjetivo del parricidio se compone</w:t>
      </w:r>
      <w:r w:rsidRPr="007125EA">
        <w:rPr>
          <w:rFonts w:ascii="Bookman Old Style" w:eastAsia="Times New Roman" w:hAnsi="Bookman Old Style" w:cs="Times New Roman"/>
          <w:i/>
          <w:color w:val="000000"/>
          <w:lang w:eastAsia="es-PE"/>
        </w:rPr>
        <w:t xml:space="preserve"> no solo del </w:t>
      </w:r>
      <w:proofErr w:type="spellStart"/>
      <w:r w:rsidRPr="007125EA">
        <w:rPr>
          <w:rFonts w:ascii="Bookman Old Style" w:eastAsia="Times New Roman" w:hAnsi="Bookman Old Style" w:cs="Times New Roman"/>
          <w:i/>
          <w:color w:val="000000"/>
          <w:lang w:eastAsia="es-PE"/>
        </w:rPr>
        <w:t>animus</w:t>
      </w:r>
      <w:proofErr w:type="spellEnd"/>
      <w:r w:rsidRPr="007125EA">
        <w:rPr>
          <w:rFonts w:ascii="Bookman Old Style" w:eastAsia="Times New Roman" w:hAnsi="Bookman Old Style" w:cs="Times New Roman"/>
          <w:i/>
          <w:color w:val="000000"/>
          <w:lang w:eastAsia="es-PE"/>
        </w:rPr>
        <w:t xml:space="preserve"> </w:t>
      </w:r>
      <w:proofErr w:type="spellStart"/>
      <w:r w:rsidRPr="007125EA">
        <w:rPr>
          <w:rFonts w:ascii="Bookman Old Style" w:eastAsia="Times New Roman" w:hAnsi="Bookman Old Style" w:cs="Times New Roman"/>
          <w:i/>
          <w:color w:val="000000"/>
          <w:lang w:eastAsia="es-PE"/>
        </w:rPr>
        <w:t>necandi</w:t>
      </w:r>
      <w:proofErr w:type="spellEnd"/>
      <w:r w:rsidRPr="007125EA">
        <w:rPr>
          <w:rFonts w:ascii="Bookman Old Style" w:eastAsia="Times New Roman" w:hAnsi="Bookman Old Style" w:cs="Times New Roman"/>
          <w:i/>
          <w:color w:val="000000"/>
          <w:lang w:eastAsia="es-PE"/>
        </w:rPr>
        <w:t xml:space="preserve"> o intención específica de causar la muerte del ascendiente, descendiente natural o adoptivo, o persona con quien se sostuvo o se mantiene una relación conyugal o de convivencia, sino también de homicida, el cual tiene dos modalidades: el dolo directo o de primer grado constituido por el deseo y la voluntad del agente de matar, a CUYO concreto objetivo se proyecta la acción agresiva</w:t>
      </w:r>
      <w:r w:rsidRPr="007125EA">
        <w:rPr>
          <w:rFonts w:ascii="Bookman Old Style" w:eastAsia="Times New Roman" w:hAnsi="Bookman Old Style" w:cs="Times New Roman"/>
          <w:color w:val="000000"/>
          <w:sz w:val="24"/>
          <w:szCs w:val="24"/>
          <w:lang w:eastAsia="es-PE"/>
        </w:rPr>
        <w:t>; y</w:t>
      </w:r>
      <w:r w:rsidRPr="007125EA">
        <w:rPr>
          <w:rFonts w:ascii="Bookman Old Style" w:eastAsia="Times New Roman" w:hAnsi="Bookman Old Style" w:cs="Times New Roman"/>
          <w:color w:val="000000"/>
          <w:lang w:eastAsia="es-PE"/>
        </w:rPr>
        <w:t xml:space="preserve">, </w:t>
      </w:r>
      <w:r w:rsidRPr="007125EA">
        <w:rPr>
          <w:rFonts w:ascii="Bookman Old Style" w:eastAsia="Times New Roman" w:hAnsi="Bookman Old Style" w:cs="Times New Roman"/>
          <w:i/>
          <w:color w:val="000000"/>
          <w:lang w:eastAsia="es-PE"/>
        </w:rPr>
        <w:t>el dolo eventual que surge cuando el sujeto activo se representa como probable la eventualidad de que la acción produzca la muerte del sujeto pasivo, aunque este resultado no sea el deseado, a pesar de lo cual persiste en dicha acción, que obra como causa del resultado producido</w:t>
      </w:r>
      <w:r>
        <w:rPr>
          <w:rFonts w:ascii="Bookman Old Style" w:eastAsia="Times New Roman" w:hAnsi="Bookman Old Style" w:cs="Times New Roman"/>
          <w:color w:val="000000"/>
          <w:sz w:val="24"/>
          <w:szCs w:val="24"/>
          <w:lang w:eastAsia="es-PE"/>
        </w:rPr>
        <w:t xml:space="preserve">. </w:t>
      </w:r>
    </w:p>
    <w:p w:rsidR="00570DB3" w:rsidRPr="00BF4786" w:rsidRDefault="00570DB3" w:rsidP="00D63AB9">
      <w:pPr>
        <w:shd w:val="clear" w:color="auto" w:fill="FFFFFF"/>
        <w:spacing w:after="398" w:line="383" w:lineRule="atLeast"/>
        <w:jc w:val="both"/>
        <w:rPr>
          <w:rFonts w:ascii="Bookman Old Style" w:eastAsia="Times New Roman" w:hAnsi="Bookman Old Style" w:cs="Times New Roman"/>
          <w:color w:val="000000"/>
          <w:sz w:val="24"/>
          <w:szCs w:val="24"/>
          <w:lang w:eastAsia="es-PE"/>
        </w:rPr>
      </w:pPr>
      <w:r>
        <w:rPr>
          <w:rFonts w:ascii="Bookman Old Style" w:eastAsia="Times New Roman" w:hAnsi="Bookman Old Style" w:cs="Times New Roman"/>
          <w:color w:val="000000"/>
          <w:sz w:val="24"/>
          <w:szCs w:val="24"/>
          <w:lang w:eastAsia="es-PE"/>
        </w:rPr>
        <w:lastRenderedPageBreak/>
        <w:t>De hecho, la conducta delictiva contenida en el artículo 107° del CP, se construye a partir del tipo base, nos referimos a la conducta descrita en el artículo 106° (</w:t>
      </w:r>
      <w:r>
        <w:rPr>
          <w:rFonts w:ascii="Bookman Old Style" w:eastAsia="Times New Roman" w:hAnsi="Bookman Old Style" w:cs="Times New Roman"/>
          <w:i/>
          <w:color w:val="000000"/>
          <w:sz w:val="24"/>
          <w:szCs w:val="24"/>
          <w:lang w:eastAsia="es-PE"/>
        </w:rPr>
        <w:t>in fine</w:t>
      </w:r>
      <w:r>
        <w:rPr>
          <w:rFonts w:ascii="Bookman Old Style" w:eastAsia="Times New Roman" w:hAnsi="Bookman Old Style" w:cs="Times New Roman"/>
          <w:color w:val="000000"/>
          <w:sz w:val="24"/>
          <w:szCs w:val="24"/>
          <w:lang w:eastAsia="es-PE"/>
        </w:rPr>
        <w:t>)</w:t>
      </w:r>
      <w:r w:rsidR="00BF4786">
        <w:rPr>
          <w:rFonts w:ascii="Bookman Old Style" w:eastAsia="Times New Roman" w:hAnsi="Bookman Old Style" w:cs="Times New Roman"/>
          <w:color w:val="000000"/>
          <w:sz w:val="24"/>
          <w:szCs w:val="24"/>
          <w:lang w:eastAsia="es-PE"/>
        </w:rPr>
        <w:t xml:space="preserve"> - "Homicidio Simple", donde el añadido acá es la relación parental entre el sujeto activo con el sujeto pasivo, es decir, es la estrecha relación que subyace entre los miembros de la pareja criminal, lo que construye la mayor reproche culpable (</w:t>
      </w:r>
      <w:r w:rsidR="00BF4786">
        <w:rPr>
          <w:rFonts w:ascii="Bookman Old Style" w:eastAsia="Times New Roman" w:hAnsi="Bookman Old Style" w:cs="Times New Roman"/>
          <w:i/>
          <w:color w:val="000000"/>
          <w:sz w:val="24"/>
          <w:szCs w:val="24"/>
          <w:lang w:eastAsia="es-PE"/>
        </w:rPr>
        <w:t>personal</w:t>
      </w:r>
      <w:r w:rsidR="00BF4786">
        <w:rPr>
          <w:rFonts w:ascii="Bookman Old Style" w:eastAsia="Times New Roman" w:hAnsi="Bookman Old Style" w:cs="Times New Roman"/>
          <w:color w:val="000000"/>
          <w:sz w:val="24"/>
          <w:szCs w:val="24"/>
          <w:lang w:eastAsia="es-PE"/>
        </w:rPr>
        <w:t>) del agente, quien en vez de cautelar y defender positivamente los bienes jurídicos de su pariente, lo que hace es aprovecharse de la relación de confianza que dimana de la familia, para perpetrar el Homicidio, que se convierte en Parricidio.</w:t>
      </w:r>
    </w:p>
    <w:p w:rsidR="00D63AB9" w:rsidRPr="00D63AB9" w:rsidRDefault="00D63AB9" w:rsidP="00D63AB9">
      <w:pPr>
        <w:shd w:val="clear" w:color="auto" w:fill="FFFFFF"/>
        <w:spacing w:after="398" w:line="383" w:lineRule="atLeast"/>
        <w:jc w:val="both"/>
        <w:rPr>
          <w:rFonts w:ascii="Bookman Old Style" w:eastAsia="Times New Roman" w:hAnsi="Bookman Old Style" w:cs="Times New Roman"/>
          <w:color w:val="000000"/>
          <w:sz w:val="24"/>
          <w:szCs w:val="24"/>
          <w:lang w:eastAsia="es-PE"/>
        </w:rPr>
      </w:pPr>
      <w:r>
        <w:rPr>
          <w:rFonts w:ascii="Bookman Old Style" w:eastAsia="Times New Roman" w:hAnsi="Bookman Old Style" w:cs="Times New Roman"/>
          <w:color w:val="000000"/>
          <w:sz w:val="24"/>
          <w:szCs w:val="24"/>
          <w:lang w:eastAsia="es-PE"/>
        </w:rPr>
        <w:t xml:space="preserve">A nuestro entender, </w:t>
      </w:r>
      <w:r w:rsidR="00BF4786">
        <w:rPr>
          <w:rFonts w:ascii="Bookman Old Style" w:eastAsia="Times New Roman" w:hAnsi="Bookman Old Style" w:cs="Times New Roman"/>
          <w:color w:val="000000"/>
          <w:sz w:val="24"/>
          <w:szCs w:val="24"/>
          <w:lang w:eastAsia="es-PE"/>
        </w:rPr>
        <w:t xml:space="preserve">en lo referente a </w:t>
      </w:r>
      <w:r>
        <w:rPr>
          <w:rFonts w:ascii="Bookman Old Style" w:eastAsia="Times New Roman" w:hAnsi="Bookman Old Style" w:cs="Times New Roman"/>
          <w:color w:val="000000"/>
          <w:sz w:val="24"/>
          <w:szCs w:val="24"/>
          <w:lang w:eastAsia="es-PE"/>
        </w:rPr>
        <w:t>los elementos subjetivos del tipo, para que su presencia sea exigible, deben estar expresamente determinados en la literalidad del tipo penal, por lo que fuera del dolo (directo o eventual), no puede requerirse comprobar el llamado "</w:t>
      </w:r>
      <w:proofErr w:type="spellStart"/>
      <w:r>
        <w:rPr>
          <w:rFonts w:ascii="Bookman Old Style" w:eastAsia="Times New Roman" w:hAnsi="Bookman Old Style" w:cs="Times New Roman"/>
          <w:color w:val="000000"/>
          <w:sz w:val="24"/>
          <w:szCs w:val="24"/>
          <w:lang w:eastAsia="es-PE"/>
        </w:rPr>
        <w:t>animus</w:t>
      </w:r>
      <w:proofErr w:type="spellEnd"/>
      <w:r>
        <w:rPr>
          <w:rFonts w:ascii="Bookman Old Style" w:eastAsia="Times New Roman" w:hAnsi="Bookman Old Style" w:cs="Times New Roman"/>
          <w:color w:val="000000"/>
          <w:sz w:val="24"/>
          <w:szCs w:val="24"/>
          <w:lang w:eastAsia="es-PE"/>
        </w:rPr>
        <w:t xml:space="preserve"> </w:t>
      </w:r>
      <w:proofErr w:type="spellStart"/>
      <w:r>
        <w:rPr>
          <w:rFonts w:ascii="Bookman Old Style" w:eastAsia="Times New Roman" w:hAnsi="Bookman Old Style" w:cs="Times New Roman"/>
          <w:color w:val="000000"/>
          <w:sz w:val="24"/>
          <w:szCs w:val="24"/>
          <w:lang w:eastAsia="es-PE"/>
        </w:rPr>
        <w:t>necandi</w:t>
      </w:r>
      <w:proofErr w:type="spellEnd"/>
      <w:r>
        <w:rPr>
          <w:rFonts w:ascii="Bookman Old Style" w:eastAsia="Times New Roman" w:hAnsi="Bookman Old Style" w:cs="Times New Roman"/>
          <w:color w:val="000000"/>
          <w:sz w:val="24"/>
          <w:szCs w:val="24"/>
          <w:lang w:eastAsia="es-PE"/>
        </w:rPr>
        <w:t xml:space="preserve">" sea en el Homicidio simple o en el Parricidio, pues cuando el agente sabe perfectamente -con alto grado de probabilidad- que la conducta que está emprendiendo (o la acción que se abstiene de realizar siendo "Garante") va desencadenar la muerte de la víctima, está obrando pues dolosamente. </w:t>
      </w:r>
    </w:p>
    <w:p w:rsidR="0002543C" w:rsidRDefault="0002543C" w:rsidP="00F478AE">
      <w:pPr>
        <w:spacing w:line="360" w:lineRule="auto"/>
        <w:jc w:val="both"/>
        <w:rPr>
          <w:rFonts w:ascii="Bookman Old Style" w:hAnsi="Bookman Old Style"/>
          <w:sz w:val="24"/>
          <w:szCs w:val="24"/>
        </w:rPr>
      </w:pPr>
      <w:r>
        <w:rPr>
          <w:rFonts w:ascii="Bookman Old Style" w:hAnsi="Bookman Old Style"/>
          <w:sz w:val="24"/>
          <w:szCs w:val="24"/>
        </w:rPr>
        <w:t xml:space="preserve">En todo caso, no olvidar </w:t>
      </w:r>
      <w:r w:rsidR="00CF1EF3">
        <w:rPr>
          <w:rFonts w:ascii="Bookman Old Style" w:hAnsi="Bookman Old Style"/>
          <w:sz w:val="24"/>
          <w:szCs w:val="24"/>
        </w:rPr>
        <w:t>-</w:t>
      </w:r>
      <w:r>
        <w:rPr>
          <w:rFonts w:ascii="Bookman Old Style" w:hAnsi="Bookman Old Style"/>
          <w:sz w:val="24"/>
          <w:szCs w:val="24"/>
        </w:rPr>
        <w:t>que cuando un solo hecho (</w:t>
      </w:r>
      <w:r>
        <w:rPr>
          <w:rFonts w:ascii="Bookman Old Style" w:hAnsi="Bookman Old Style"/>
          <w:i/>
          <w:sz w:val="24"/>
          <w:szCs w:val="24"/>
        </w:rPr>
        <w:t>objeto de incriminación</w:t>
      </w:r>
      <w:r>
        <w:rPr>
          <w:rFonts w:ascii="Bookman Old Style" w:hAnsi="Bookman Old Style"/>
          <w:sz w:val="24"/>
          <w:szCs w:val="24"/>
        </w:rPr>
        <w:t>) es susceptible de ser subsumido en más de un tipo penal-</w:t>
      </w:r>
      <w:r w:rsidR="00CF1EF3">
        <w:rPr>
          <w:rFonts w:ascii="Bookman Old Style" w:hAnsi="Bookman Old Style"/>
          <w:sz w:val="24"/>
          <w:szCs w:val="24"/>
        </w:rPr>
        <w:t xml:space="preserve"> </w:t>
      </w:r>
      <w:r>
        <w:rPr>
          <w:rFonts w:ascii="Bookman Old Style" w:hAnsi="Bookman Old Style"/>
          <w:sz w:val="24"/>
          <w:szCs w:val="24"/>
        </w:rPr>
        <w:t xml:space="preserve">la muerte dolosa de una dama-, estamos ante la figura de un «conflicto aparente de normas», por tanto, al fin al cabo solo se le puede sancionar punitivamente al autor por </w:t>
      </w:r>
      <w:proofErr w:type="spellStart"/>
      <w:r>
        <w:rPr>
          <w:rFonts w:ascii="Bookman Old Style" w:hAnsi="Bookman Old Style"/>
          <w:sz w:val="24"/>
          <w:szCs w:val="24"/>
        </w:rPr>
        <w:t>Feminicidio</w:t>
      </w:r>
      <w:proofErr w:type="spellEnd"/>
      <w:r>
        <w:rPr>
          <w:rFonts w:ascii="Bookman Old Style" w:hAnsi="Bookman Old Style"/>
          <w:sz w:val="24"/>
          <w:szCs w:val="24"/>
        </w:rPr>
        <w:t xml:space="preserve"> o por Parricidio; primero, se da la probática del tipo penal principal, una vez no probada esta se pasa a la actuación probatoria del tipo penal alternativo y/o subsidiaria.</w:t>
      </w:r>
    </w:p>
    <w:p w:rsidR="00CF1EF3" w:rsidRDefault="0002543C" w:rsidP="00F478AE">
      <w:pPr>
        <w:spacing w:line="360" w:lineRule="auto"/>
        <w:jc w:val="both"/>
        <w:rPr>
          <w:rFonts w:ascii="Bookman Old Style" w:hAnsi="Bookman Old Style"/>
          <w:sz w:val="24"/>
          <w:szCs w:val="24"/>
        </w:rPr>
      </w:pPr>
      <w:r>
        <w:rPr>
          <w:rFonts w:ascii="Bookman Old Style" w:hAnsi="Bookman Old Style"/>
          <w:sz w:val="24"/>
          <w:szCs w:val="24"/>
        </w:rPr>
        <w:t xml:space="preserve">Al margen de lo sostenido, seguimos con nuestra postura, de postular dogmáticamente que sujeto activo del delito de </w:t>
      </w:r>
      <w:proofErr w:type="spellStart"/>
      <w:r>
        <w:rPr>
          <w:rFonts w:ascii="Bookman Old Style" w:hAnsi="Bookman Old Style"/>
          <w:sz w:val="24"/>
          <w:szCs w:val="24"/>
        </w:rPr>
        <w:t>Feminicidio</w:t>
      </w:r>
      <w:proofErr w:type="spellEnd"/>
      <w:r>
        <w:rPr>
          <w:rFonts w:ascii="Bookman Old Style" w:hAnsi="Bookman Old Style"/>
          <w:sz w:val="24"/>
          <w:szCs w:val="24"/>
        </w:rPr>
        <w:t xml:space="preserve">, puede serlo tanto un hombre como una </w:t>
      </w:r>
      <w:r w:rsidR="000A5453">
        <w:rPr>
          <w:rFonts w:ascii="Bookman Old Style" w:hAnsi="Bookman Old Style"/>
          <w:sz w:val="24"/>
          <w:szCs w:val="24"/>
        </w:rPr>
        <w:t xml:space="preserve">mujer; puede decirse, que mientras el Parricidio toma lugar en el marco de la "violencia familiar", el delito de </w:t>
      </w:r>
      <w:proofErr w:type="spellStart"/>
      <w:r w:rsidR="000A5453">
        <w:rPr>
          <w:rFonts w:ascii="Bookman Old Style" w:hAnsi="Bookman Old Style"/>
          <w:sz w:val="24"/>
          <w:szCs w:val="24"/>
        </w:rPr>
        <w:lastRenderedPageBreak/>
        <w:t>Feminicidio</w:t>
      </w:r>
      <w:proofErr w:type="spellEnd"/>
      <w:r w:rsidR="000A5453">
        <w:rPr>
          <w:rFonts w:ascii="Bookman Old Style" w:hAnsi="Bookman Old Style"/>
          <w:sz w:val="24"/>
          <w:szCs w:val="24"/>
        </w:rPr>
        <w:t xml:space="preserve">, tanto en la "violencia de género" como en la "violencia </w:t>
      </w:r>
      <w:proofErr w:type="spellStart"/>
      <w:r w:rsidR="000A5453">
        <w:rPr>
          <w:rFonts w:ascii="Bookman Old Style" w:hAnsi="Bookman Old Style"/>
          <w:sz w:val="24"/>
          <w:szCs w:val="24"/>
        </w:rPr>
        <w:t>intra</w:t>
      </w:r>
      <w:proofErr w:type="spellEnd"/>
      <w:r w:rsidR="000A5453">
        <w:rPr>
          <w:rFonts w:ascii="Bookman Old Style" w:hAnsi="Bookman Old Style"/>
          <w:sz w:val="24"/>
          <w:szCs w:val="24"/>
        </w:rPr>
        <w:t>-doméstica", lo que de cierta forma se desprende del AP 1-2017 de la CS.</w:t>
      </w:r>
    </w:p>
    <w:p w:rsidR="0002543C" w:rsidRPr="0002543C" w:rsidRDefault="00CF1EF3" w:rsidP="00F478AE">
      <w:pPr>
        <w:spacing w:line="360" w:lineRule="auto"/>
        <w:jc w:val="both"/>
        <w:rPr>
          <w:rFonts w:ascii="Bookman Old Style" w:hAnsi="Bookman Old Style"/>
          <w:sz w:val="24"/>
          <w:szCs w:val="24"/>
        </w:rPr>
      </w:pPr>
      <w:r>
        <w:rPr>
          <w:rFonts w:ascii="Bookman Old Style" w:hAnsi="Bookman Old Style"/>
          <w:sz w:val="24"/>
          <w:szCs w:val="24"/>
        </w:rPr>
        <w:t xml:space="preserve">En resumidas cuentas, es una labor de hermenéutica jurídica de primer orden, en un Estado constitucional de derecho, adecuar de manera correcta y razonable el substrato de incriminación al tipo penal en particular. </w:t>
      </w:r>
    </w:p>
    <w:p w:rsidR="00A613E6" w:rsidRPr="00D86ECA" w:rsidRDefault="00A613E6" w:rsidP="00F478AE">
      <w:pPr>
        <w:spacing w:line="360" w:lineRule="auto"/>
        <w:jc w:val="both"/>
        <w:rPr>
          <w:rFonts w:ascii="Bookman Old Style" w:hAnsi="Bookman Old Style"/>
          <w:sz w:val="24"/>
          <w:szCs w:val="24"/>
        </w:rPr>
      </w:pPr>
    </w:p>
    <w:sectPr w:rsidR="00A613E6" w:rsidRPr="00D86ECA" w:rsidSect="00FD423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8AE" w:rsidRDefault="00F478AE" w:rsidP="00F478AE">
      <w:pPr>
        <w:spacing w:after="0" w:line="240" w:lineRule="auto"/>
      </w:pPr>
      <w:r>
        <w:separator/>
      </w:r>
    </w:p>
  </w:endnote>
  <w:endnote w:type="continuationSeparator" w:id="1">
    <w:p w:rsidR="00F478AE" w:rsidRDefault="00F478AE" w:rsidP="00F47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8AE" w:rsidRDefault="00F478AE" w:rsidP="00F478AE">
      <w:pPr>
        <w:spacing w:after="0" w:line="240" w:lineRule="auto"/>
      </w:pPr>
      <w:r>
        <w:separator/>
      </w:r>
    </w:p>
  </w:footnote>
  <w:footnote w:type="continuationSeparator" w:id="1">
    <w:p w:rsidR="00F478AE" w:rsidRDefault="00F478AE" w:rsidP="00F478AE">
      <w:pPr>
        <w:spacing w:after="0" w:line="240" w:lineRule="auto"/>
      </w:pPr>
      <w:r>
        <w:continuationSeparator/>
      </w:r>
    </w:p>
  </w:footnote>
  <w:footnote w:id="2">
    <w:p w:rsidR="00E610B1" w:rsidRPr="001078A6" w:rsidRDefault="00E610B1" w:rsidP="00E610B1">
      <w:pPr>
        <w:pStyle w:val="Textonotapie"/>
        <w:jc w:val="both"/>
        <w:rPr>
          <w:rFonts w:ascii="Century Gothic" w:hAnsi="Century Gothic" w:cs="Tahoma"/>
        </w:rPr>
      </w:pPr>
      <w:r w:rsidRPr="001078A6">
        <w:rPr>
          <w:rStyle w:val="Refdenotaalpie"/>
          <w:rFonts w:ascii="Century Gothic" w:hAnsi="Century Gothic"/>
        </w:rPr>
        <w:footnoteRef/>
      </w:r>
      <w:r w:rsidRPr="001078A6">
        <w:rPr>
          <w:rFonts w:ascii="Century Gothic" w:hAnsi="Century Gothic" w:cs="Tahoma"/>
        </w:rPr>
        <w:t xml:space="preserve">  . Profesor de la Maestría en Ciencias Penales de la UNMSM, Docente de la AMAG,</w:t>
      </w:r>
      <w:r>
        <w:rPr>
          <w:rFonts w:ascii="Century Gothic" w:hAnsi="Century Gothic" w:cs="Tahoma"/>
        </w:rPr>
        <w:t xml:space="preserve"> ex</w:t>
      </w:r>
      <w:r w:rsidRPr="001078A6">
        <w:rPr>
          <w:rFonts w:ascii="Century Gothic" w:hAnsi="Century Gothic" w:cs="Tahoma"/>
        </w:rPr>
        <w:t xml:space="preserve"> Fisc</w:t>
      </w:r>
      <w:r>
        <w:rPr>
          <w:rFonts w:ascii="Century Gothic" w:hAnsi="Century Gothic" w:cs="Tahoma"/>
        </w:rPr>
        <w:t>al Superior - Jefe de la Unidad de Cooperación Judicial Internacional de la Fiscalía de la Nación</w:t>
      </w:r>
      <w:r w:rsidRPr="001078A6">
        <w:rPr>
          <w:rFonts w:ascii="Century Gothic" w:hAnsi="Century Gothic" w:cs="Tahoma"/>
        </w:rPr>
        <w:t xml:space="preserve">, Magíster en Ciencias Penales por la UNMSM, Título en Post-grado en Derecho procesal penal por la Universidad Castilla La Mancha (Toledo-España), ex –Asesor del Despacho de la Fiscalía de la Nación. Autor de obras de Derecho penal y Derecho procesal penal (Derecho Penal. Parte General. Teoría General del Delito, de la pena y sus consecuencias jurídicas; </w:t>
      </w:r>
      <w:r>
        <w:rPr>
          <w:rFonts w:ascii="Century Gothic" w:hAnsi="Century Gothic" w:cs="Tahoma"/>
        </w:rPr>
        <w:t>Derecho Penal. Parte Especial. 7</w:t>
      </w:r>
      <w:r w:rsidRPr="001078A6">
        <w:rPr>
          <w:rFonts w:ascii="Century Gothic" w:hAnsi="Century Gothic" w:cs="Tahoma"/>
        </w:rPr>
        <w:t xml:space="preserve"> Tomos; Exégesis al nuevo Código Procesal Penal. 2 Tomos); Derecho Penal Económico; Delitos contra el Patrimonio; Delitos contra el Honor y su conflicto con el Derecho a la Información.</w:t>
      </w:r>
    </w:p>
  </w:footnote>
  <w:footnote w:id="3">
    <w:p w:rsidR="00F478AE" w:rsidRPr="00F478AE" w:rsidRDefault="00F478AE" w:rsidP="00F478AE">
      <w:pPr>
        <w:pStyle w:val="Textonotapie"/>
        <w:jc w:val="both"/>
        <w:rPr>
          <w:rFonts w:ascii="Century Gothic" w:hAnsi="Century Gothic"/>
        </w:rPr>
      </w:pPr>
      <w:r>
        <w:rPr>
          <w:rStyle w:val="Refdenotaalpie"/>
        </w:rPr>
        <w:footnoteRef/>
      </w:r>
      <w:r>
        <w:t xml:space="preserve"> </w:t>
      </w:r>
      <w:r>
        <w:rPr>
          <w:rFonts w:ascii="Century Gothic" w:hAnsi="Century Gothic"/>
        </w:rPr>
        <w:t>. De enero del 2016 a octubre del 2020: "553" (Análisis de Evidencias de las Investigaciones).</w:t>
      </w:r>
    </w:p>
  </w:footnote>
  <w:footnote w:id="4">
    <w:p w:rsidR="00CF1EF3" w:rsidRPr="00CF1EF3" w:rsidRDefault="00CF1EF3" w:rsidP="00CF1EF3">
      <w:pPr>
        <w:pStyle w:val="Textonotapie"/>
        <w:jc w:val="both"/>
        <w:rPr>
          <w:rFonts w:ascii="Century Gothic" w:hAnsi="Century Gothic"/>
        </w:rPr>
      </w:pPr>
      <w:r>
        <w:rPr>
          <w:rStyle w:val="Refdenotaalpie"/>
        </w:rPr>
        <w:footnoteRef/>
      </w:r>
      <w:r>
        <w:t xml:space="preserve"> </w:t>
      </w:r>
      <w:r>
        <w:rPr>
          <w:rFonts w:ascii="Century Gothic" w:hAnsi="Century Gothic"/>
        </w:rPr>
        <w:t xml:space="preserve"> . También identificable en el caso del delito tentado.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0"/>
    <w:footnote w:id="1"/>
  </w:footnotePr>
  <w:endnotePr>
    <w:endnote w:id="0"/>
    <w:endnote w:id="1"/>
  </w:endnotePr>
  <w:compat/>
  <w:rsids>
    <w:rsidRoot w:val="00F478AE"/>
    <w:rsid w:val="0002543C"/>
    <w:rsid w:val="000A5453"/>
    <w:rsid w:val="000E75E3"/>
    <w:rsid w:val="00176624"/>
    <w:rsid w:val="002A6D52"/>
    <w:rsid w:val="0039239C"/>
    <w:rsid w:val="004D4969"/>
    <w:rsid w:val="00570DB3"/>
    <w:rsid w:val="00A613E6"/>
    <w:rsid w:val="00BF4786"/>
    <w:rsid w:val="00C44BC3"/>
    <w:rsid w:val="00CA45F9"/>
    <w:rsid w:val="00CF1EF3"/>
    <w:rsid w:val="00D63AB9"/>
    <w:rsid w:val="00D86ECA"/>
    <w:rsid w:val="00E610B1"/>
    <w:rsid w:val="00F008BA"/>
    <w:rsid w:val="00F478AE"/>
    <w:rsid w:val="00FD423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78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8AE"/>
    <w:rPr>
      <w:sz w:val="20"/>
      <w:szCs w:val="20"/>
    </w:rPr>
  </w:style>
  <w:style w:type="character" w:styleId="Refdenotaalpie">
    <w:name w:val="footnote reference"/>
    <w:basedOn w:val="Fuentedeprrafopredeter"/>
    <w:uiPriority w:val="99"/>
    <w:semiHidden/>
    <w:unhideWhenUsed/>
    <w:rsid w:val="00F478AE"/>
    <w:rPr>
      <w:vertAlign w:val="superscript"/>
    </w:rPr>
  </w:style>
  <w:style w:type="character" w:styleId="Textoennegrita">
    <w:name w:val="Strong"/>
    <w:basedOn w:val="Fuentedeprrafopredeter"/>
    <w:uiPriority w:val="22"/>
    <w:qFormat/>
    <w:rsid w:val="00D63A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54E2-8928-4F62-A3B7-A0BF90EA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1184</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8</cp:revision>
  <dcterms:created xsi:type="dcterms:W3CDTF">2020-12-05T03:50:00Z</dcterms:created>
  <dcterms:modified xsi:type="dcterms:W3CDTF">2021-02-19T23:22:00Z</dcterms:modified>
</cp:coreProperties>
</file>